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7D" w:rsidRDefault="004C587D" w:rsidP="004C587D">
      <w:pPr>
        <w:jc w:val="both"/>
      </w:pPr>
    </w:p>
    <w:tbl>
      <w:tblPr>
        <w:tblStyle w:val="TableGrid"/>
        <w:tblW w:w="0" w:type="auto"/>
        <w:tblLook w:val="04A0" w:firstRow="1" w:lastRow="0" w:firstColumn="1" w:lastColumn="0" w:noHBand="0" w:noVBand="1"/>
      </w:tblPr>
      <w:tblGrid>
        <w:gridCol w:w="4788"/>
        <w:gridCol w:w="4788"/>
      </w:tblGrid>
      <w:tr w:rsidR="004C587D" w:rsidTr="004C587D">
        <w:trPr>
          <w:trHeight w:val="3230"/>
        </w:trPr>
        <w:tc>
          <w:tcPr>
            <w:tcW w:w="4788" w:type="dxa"/>
          </w:tcPr>
          <w:p w:rsidR="000B220C" w:rsidRDefault="000B220C" w:rsidP="000B220C">
            <w:r>
              <w:t>Supreme Court</w:t>
            </w:r>
          </w:p>
          <w:p w:rsidR="004C587D" w:rsidRDefault="004C587D"/>
          <w:p w:rsidR="004C587D" w:rsidRDefault="004C587D"/>
          <w:p w:rsidR="004C587D" w:rsidRDefault="004C587D"/>
          <w:p w:rsidR="004C587D" w:rsidRDefault="000B220C">
            <w:pPr>
              <w:rPr>
                <w:sz w:val="50"/>
                <w:szCs w:val="50"/>
              </w:rPr>
            </w:pPr>
            <w:r>
              <w:rPr>
                <w:sz w:val="50"/>
                <w:szCs w:val="50"/>
              </w:rPr>
              <w:t>The Marshall Court</w:t>
            </w:r>
          </w:p>
          <w:p w:rsidR="000B220C" w:rsidRPr="004C587D" w:rsidRDefault="000B220C">
            <w:pPr>
              <w:rPr>
                <w:sz w:val="50"/>
                <w:szCs w:val="50"/>
              </w:rPr>
            </w:pPr>
            <w:r>
              <w:rPr>
                <w:sz w:val="50"/>
                <w:szCs w:val="50"/>
              </w:rPr>
              <w:t>(1800-1832)</w:t>
            </w:r>
          </w:p>
        </w:tc>
        <w:tc>
          <w:tcPr>
            <w:tcW w:w="4788" w:type="dxa"/>
          </w:tcPr>
          <w:p w:rsidR="000B220C" w:rsidRDefault="000B220C" w:rsidP="000B220C">
            <w:r>
              <w:t>Supreme Court</w:t>
            </w:r>
          </w:p>
          <w:p w:rsidR="004C587D" w:rsidRDefault="004C587D"/>
          <w:p w:rsidR="004C587D" w:rsidRDefault="004C587D" w:rsidP="000B220C">
            <w:pPr>
              <w:jc w:val="both"/>
            </w:pPr>
          </w:p>
          <w:p w:rsidR="000B220C" w:rsidRDefault="000B220C">
            <w:pPr>
              <w:rPr>
                <w:rFonts w:ascii="Bookman Old Style" w:hAnsi="Bookman Old Style"/>
                <w:sz w:val="32"/>
                <w:szCs w:val="32"/>
              </w:rPr>
            </w:pPr>
            <w:r w:rsidRPr="000B220C">
              <w:rPr>
                <w:rFonts w:ascii="Bookman Old Style" w:hAnsi="Bookman Old Style"/>
                <w:sz w:val="32"/>
                <w:szCs w:val="32"/>
              </w:rPr>
              <w:t xml:space="preserve">all expand power of </w:t>
            </w:r>
          </w:p>
          <w:p w:rsidR="000B220C" w:rsidRDefault="000B220C">
            <w:pPr>
              <w:rPr>
                <w:rFonts w:ascii="Bookman Old Style" w:hAnsi="Bookman Old Style"/>
                <w:sz w:val="32"/>
                <w:szCs w:val="32"/>
              </w:rPr>
            </w:pPr>
            <w:r w:rsidRPr="000B220C">
              <w:rPr>
                <w:rFonts w:ascii="Bookman Old Style" w:hAnsi="Bookman Old Style"/>
                <w:sz w:val="32"/>
                <w:szCs w:val="32"/>
              </w:rPr>
              <w:t xml:space="preserve">Federal Government </w:t>
            </w:r>
          </w:p>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and/or support </w:t>
            </w:r>
          </w:p>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business </w:t>
            </w:r>
          </w:p>
          <w:p w:rsidR="004C587D" w:rsidRPr="000B220C" w:rsidRDefault="000B220C">
            <w:pPr>
              <w:rPr>
                <w:sz w:val="32"/>
                <w:szCs w:val="32"/>
              </w:rPr>
            </w:pPr>
            <w:r w:rsidRPr="000B220C">
              <w:rPr>
                <w:rFonts w:ascii="Bookman Old Style" w:hAnsi="Bookman Old Style"/>
                <w:sz w:val="32"/>
                <w:szCs w:val="32"/>
              </w:rPr>
              <w:t>enterprise</w:t>
            </w:r>
          </w:p>
        </w:tc>
      </w:tr>
    </w:tbl>
    <w:p w:rsidR="00865F33" w:rsidRDefault="00865F33"/>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0B220C"/>
          <w:p w:rsidR="004C587D" w:rsidRDefault="004C587D" w:rsidP="000B220C"/>
          <w:p w:rsidR="004C587D" w:rsidRDefault="004C587D" w:rsidP="000B220C">
            <w:pPr>
              <w:jc w:val="both"/>
            </w:pPr>
          </w:p>
          <w:p w:rsidR="004C587D" w:rsidRDefault="000B220C" w:rsidP="000B220C">
            <w:pPr>
              <w:rPr>
                <w:sz w:val="50"/>
                <w:szCs w:val="50"/>
              </w:rPr>
            </w:pPr>
            <w:r>
              <w:rPr>
                <w:sz w:val="50"/>
                <w:szCs w:val="50"/>
              </w:rPr>
              <w:t>Marbury v Madison</w:t>
            </w:r>
          </w:p>
          <w:p w:rsidR="000B220C" w:rsidRPr="004C587D" w:rsidRDefault="000B220C" w:rsidP="000B220C">
            <w:pPr>
              <w:rPr>
                <w:sz w:val="50"/>
                <w:szCs w:val="50"/>
              </w:rPr>
            </w:pPr>
            <w:r>
              <w:rPr>
                <w:sz w:val="50"/>
                <w:szCs w:val="50"/>
              </w:rPr>
              <w:t>(1803)</w:t>
            </w:r>
          </w:p>
        </w:tc>
        <w:tc>
          <w:tcPr>
            <w:tcW w:w="4788" w:type="dxa"/>
          </w:tcPr>
          <w:p w:rsidR="000B220C" w:rsidRDefault="000B220C" w:rsidP="000B220C">
            <w:r>
              <w:t>Supreme Court</w:t>
            </w:r>
          </w:p>
          <w:p w:rsidR="004C587D" w:rsidRPr="004C587D" w:rsidRDefault="004C587D" w:rsidP="000B220C">
            <w:pPr>
              <w:rPr>
                <w:sz w:val="32"/>
                <w:szCs w:val="32"/>
              </w:rPr>
            </w:pPr>
          </w:p>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established </w:t>
            </w:r>
            <w:r w:rsidRPr="000B220C">
              <w:rPr>
                <w:rFonts w:ascii="Bookman Old Style" w:hAnsi="Bookman Old Style"/>
                <w:i/>
                <w:sz w:val="32"/>
                <w:szCs w:val="32"/>
              </w:rPr>
              <w:t>judicial review</w:t>
            </w:r>
            <w:r w:rsidRPr="000B220C">
              <w:rPr>
                <w:rFonts w:ascii="Bookman Old Style" w:hAnsi="Bookman Old Style"/>
                <w:sz w:val="32"/>
                <w:szCs w:val="32"/>
              </w:rPr>
              <w:t xml:space="preserve"> establishing the Supreme Court as the determiner </w:t>
            </w:r>
          </w:p>
          <w:p w:rsidR="000B220C" w:rsidRDefault="000B220C" w:rsidP="000B220C">
            <w:pPr>
              <w:rPr>
                <w:rFonts w:ascii="Bookman Old Style" w:hAnsi="Bookman Old Style"/>
                <w:sz w:val="32"/>
                <w:szCs w:val="32"/>
              </w:rPr>
            </w:pPr>
            <w:proofErr w:type="gramStart"/>
            <w:r w:rsidRPr="000B220C">
              <w:rPr>
                <w:rFonts w:ascii="Bookman Old Style" w:hAnsi="Bookman Old Style"/>
                <w:sz w:val="32"/>
                <w:szCs w:val="32"/>
              </w:rPr>
              <w:t>of</w:t>
            </w:r>
            <w:proofErr w:type="gramEnd"/>
            <w:r w:rsidRPr="000B220C">
              <w:rPr>
                <w:rFonts w:ascii="Bookman Old Style" w:hAnsi="Bookman Old Style"/>
                <w:sz w:val="32"/>
                <w:szCs w:val="32"/>
              </w:rPr>
              <w:t xml:space="preserve"> the constitutionality of federal laws, expanding power of the </w:t>
            </w:r>
            <w:r>
              <w:rPr>
                <w:rFonts w:ascii="Bookman Old Style" w:hAnsi="Bookman Old Style"/>
                <w:sz w:val="32"/>
                <w:szCs w:val="32"/>
              </w:rPr>
              <w:t>Sup. Court</w:t>
            </w:r>
          </w:p>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 and therefore, the </w:t>
            </w:r>
          </w:p>
          <w:p w:rsidR="004C587D" w:rsidRPr="000B220C" w:rsidRDefault="000B220C" w:rsidP="000B220C">
            <w:pPr>
              <w:rPr>
                <w:sz w:val="32"/>
                <w:szCs w:val="32"/>
              </w:rPr>
            </w:pPr>
            <w:proofErr w:type="gramStart"/>
            <w:r w:rsidRPr="000B220C">
              <w:rPr>
                <w:rFonts w:ascii="Bookman Old Style" w:hAnsi="Bookman Old Style"/>
                <w:sz w:val="32"/>
                <w:szCs w:val="32"/>
              </w:rPr>
              <w:t>federal</w:t>
            </w:r>
            <w:proofErr w:type="gramEnd"/>
            <w:r w:rsidRPr="000B220C">
              <w:rPr>
                <w:rFonts w:ascii="Bookman Old Style" w:hAnsi="Bookman Old Style"/>
                <w:sz w:val="32"/>
                <w:szCs w:val="32"/>
              </w:rPr>
              <w:t xml:space="preserve"> government.</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0B220C"/>
          <w:p w:rsidR="004C587D" w:rsidRDefault="004C587D" w:rsidP="000B220C"/>
          <w:p w:rsidR="004C587D" w:rsidRPr="000B220C" w:rsidRDefault="000B220C" w:rsidP="000B220C">
            <w:pPr>
              <w:rPr>
                <w:sz w:val="50"/>
                <w:szCs w:val="50"/>
              </w:rPr>
            </w:pPr>
            <w:r w:rsidRPr="000B220C">
              <w:rPr>
                <w:rFonts w:ascii="Bookman Old Style" w:hAnsi="Bookman Old Style"/>
                <w:sz w:val="50"/>
                <w:szCs w:val="50"/>
              </w:rPr>
              <w:t xml:space="preserve">Fletcher </w:t>
            </w:r>
            <w:proofErr w:type="spellStart"/>
            <w:r w:rsidRPr="000B220C">
              <w:rPr>
                <w:rFonts w:ascii="Bookman Old Style" w:hAnsi="Bookman Old Style"/>
                <w:sz w:val="50"/>
                <w:szCs w:val="50"/>
              </w:rPr>
              <w:t>vs</w:t>
            </w:r>
            <w:proofErr w:type="spellEnd"/>
            <w:r w:rsidRPr="000B220C">
              <w:rPr>
                <w:rFonts w:ascii="Bookman Old Style" w:hAnsi="Bookman Old Style"/>
                <w:sz w:val="50"/>
                <w:szCs w:val="50"/>
              </w:rPr>
              <w:t xml:space="preserve"> Peck (1810)</w:t>
            </w:r>
          </w:p>
        </w:tc>
        <w:tc>
          <w:tcPr>
            <w:tcW w:w="4788" w:type="dxa"/>
          </w:tcPr>
          <w:p w:rsidR="000B220C" w:rsidRDefault="000B220C" w:rsidP="000B220C">
            <w:r>
              <w:t>Supreme Court</w:t>
            </w:r>
          </w:p>
          <w:p w:rsidR="004C587D" w:rsidRDefault="004C587D" w:rsidP="000B220C"/>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declared a state law unconstitutional, thus strengthening the </w:t>
            </w:r>
          </w:p>
          <w:p w:rsidR="004C587D" w:rsidRPr="000B220C" w:rsidRDefault="000B220C" w:rsidP="000B220C">
            <w:pPr>
              <w:rPr>
                <w:sz w:val="32"/>
                <w:szCs w:val="32"/>
              </w:rPr>
            </w:pPr>
            <w:r w:rsidRPr="000B220C">
              <w:rPr>
                <w:rFonts w:ascii="Bookman Old Style" w:hAnsi="Bookman Old Style"/>
                <w:sz w:val="32"/>
                <w:szCs w:val="32"/>
              </w:rPr>
              <w:t>national government as superior over the states</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4C587D" w:rsidRDefault="000B220C" w:rsidP="000B220C">
            <w:r>
              <w:lastRenderedPageBreak/>
              <w:t>Supreme Court</w:t>
            </w:r>
          </w:p>
          <w:p w:rsidR="004C587D" w:rsidRDefault="004C587D" w:rsidP="000B220C"/>
          <w:p w:rsidR="004C587D" w:rsidRDefault="004C587D" w:rsidP="004C587D">
            <w:pPr>
              <w:jc w:val="both"/>
            </w:pPr>
          </w:p>
          <w:p w:rsidR="000B220C" w:rsidRDefault="000B220C" w:rsidP="000B220C">
            <w:pPr>
              <w:rPr>
                <w:rFonts w:ascii="Bookman Old Style" w:hAnsi="Bookman Old Style"/>
                <w:sz w:val="50"/>
                <w:szCs w:val="50"/>
              </w:rPr>
            </w:pPr>
            <w:r w:rsidRPr="000B220C">
              <w:rPr>
                <w:rFonts w:ascii="Bookman Old Style" w:hAnsi="Bookman Old Style"/>
                <w:sz w:val="50"/>
                <w:szCs w:val="50"/>
              </w:rPr>
              <w:t xml:space="preserve">McCulloch </w:t>
            </w:r>
            <w:proofErr w:type="spellStart"/>
            <w:r w:rsidRPr="000B220C">
              <w:rPr>
                <w:rFonts w:ascii="Bookman Old Style" w:hAnsi="Bookman Old Style"/>
                <w:sz w:val="50"/>
                <w:szCs w:val="50"/>
              </w:rPr>
              <w:t>vs</w:t>
            </w:r>
            <w:proofErr w:type="spellEnd"/>
            <w:r w:rsidRPr="000B220C">
              <w:rPr>
                <w:rFonts w:ascii="Bookman Old Style" w:hAnsi="Bookman Old Style"/>
                <w:sz w:val="50"/>
                <w:szCs w:val="50"/>
              </w:rPr>
              <w:t xml:space="preserve"> Maryland </w:t>
            </w:r>
          </w:p>
          <w:p w:rsidR="004C587D" w:rsidRPr="000B220C" w:rsidRDefault="000B220C" w:rsidP="000B220C">
            <w:pPr>
              <w:rPr>
                <w:sz w:val="50"/>
                <w:szCs w:val="50"/>
              </w:rPr>
            </w:pPr>
            <w:r w:rsidRPr="000B220C">
              <w:rPr>
                <w:rFonts w:ascii="Bookman Old Style" w:hAnsi="Bookman Old Style"/>
                <w:sz w:val="50"/>
                <w:szCs w:val="50"/>
              </w:rPr>
              <w:t>(1819)</w:t>
            </w:r>
          </w:p>
        </w:tc>
        <w:tc>
          <w:tcPr>
            <w:tcW w:w="4788" w:type="dxa"/>
          </w:tcPr>
          <w:p w:rsidR="000B220C" w:rsidRDefault="000B220C" w:rsidP="000B220C">
            <w:r>
              <w:t>Supreme Court</w:t>
            </w:r>
          </w:p>
          <w:p w:rsidR="004C587D" w:rsidRDefault="000B220C" w:rsidP="000B220C">
            <w:proofErr w:type="gramStart"/>
            <w:r>
              <w:rPr>
                <w:rFonts w:ascii="Bookman Old Style" w:hAnsi="Bookman Old Style"/>
              </w:rPr>
              <w:t>issue</w:t>
            </w:r>
            <w:proofErr w:type="gramEnd"/>
            <w:r>
              <w:rPr>
                <w:rFonts w:ascii="Bookman Old Style" w:hAnsi="Bookman Old Style"/>
              </w:rPr>
              <w:t xml:space="preserve"> at hand was whether a state could tax a federal establishment.  S.C. ruled no through an “implied powers” interpretation of the Constitution, thereby strengthening national government over the states and paving the way for future expansion of federal power through “implied powers.”</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361198">
            <w:pPr>
              <w:jc w:val="both"/>
            </w:pPr>
          </w:p>
          <w:p w:rsidR="000B220C" w:rsidRDefault="000B220C" w:rsidP="000B220C">
            <w:pPr>
              <w:rPr>
                <w:rFonts w:ascii="Bookman Old Style" w:hAnsi="Bookman Old Style"/>
                <w:sz w:val="50"/>
                <w:szCs w:val="50"/>
              </w:rPr>
            </w:pPr>
            <w:r w:rsidRPr="000B220C">
              <w:rPr>
                <w:rFonts w:ascii="Bookman Old Style" w:hAnsi="Bookman Old Style"/>
                <w:sz w:val="50"/>
                <w:szCs w:val="50"/>
              </w:rPr>
              <w:t xml:space="preserve">Dartmouth College </w:t>
            </w:r>
            <w:proofErr w:type="spellStart"/>
            <w:r w:rsidRPr="000B220C">
              <w:rPr>
                <w:rFonts w:ascii="Bookman Old Style" w:hAnsi="Bookman Old Style"/>
                <w:sz w:val="50"/>
                <w:szCs w:val="50"/>
              </w:rPr>
              <w:t>vs</w:t>
            </w:r>
            <w:proofErr w:type="spellEnd"/>
            <w:r w:rsidRPr="000B220C">
              <w:rPr>
                <w:rFonts w:ascii="Bookman Old Style" w:hAnsi="Bookman Old Style"/>
                <w:sz w:val="50"/>
                <w:szCs w:val="50"/>
              </w:rPr>
              <w:t xml:space="preserve"> Woodward</w:t>
            </w:r>
          </w:p>
          <w:p w:rsidR="004C587D" w:rsidRPr="000B220C" w:rsidRDefault="000B220C" w:rsidP="000B220C">
            <w:pPr>
              <w:rPr>
                <w:sz w:val="50"/>
                <w:szCs w:val="50"/>
              </w:rPr>
            </w:pPr>
            <w:r w:rsidRPr="000B220C">
              <w:rPr>
                <w:rFonts w:ascii="Bookman Old Style" w:hAnsi="Bookman Old Style"/>
                <w:sz w:val="50"/>
                <w:szCs w:val="50"/>
              </w:rPr>
              <w:t xml:space="preserve"> (1819)</w:t>
            </w:r>
          </w:p>
        </w:tc>
        <w:tc>
          <w:tcPr>
            <w:tcW w:w="4788" w:type="dxa"/>
          </w:tcPr>
          <w:p w:rsidR="000B220C" w:rsidRDefault="000B220C" w:rsidP="000B220C">
            <w:r>
              <w:t>Supreme Court</w:t>
            </w:r>
          </w:p>
          <w:p w:rsidR="000B220C" w:rsidRDefault="000B220C" w:rsidP="000B220C"/>
          <w:p w:rsidR="004C587D" w:rsidRPr="000B220C" w:rsidRDefault="000B220C" w:rsidP="000B220C">
            <w:pPr>
              <w:rPr>
                <w:sz w:val="26"/>
                <w:szCs w:val="26"/>
              </w:rPr>
            </w:pPr>
            <w:r w:rsidRPr="000B220C">
              <w:rPr>
                <w:rFonts w:ascii="Bookman Old Style" w:hAnsi="Bookman Old Style"/>
                <w:sz w:val="26"/>
                <w:szCs w:val="26"/>
              </w:rPr>
              <w:t xml:space="preserve">The decision upheld the </w:t>
            </w:r>
            <w:r w:rsidRPr="000B220C">
              <w:rPr>
                <w:rFonts w:ascii="Bookman Old Style" w:hAnsi="Bookman Old Style"/>
                <w:i/>
                <w:sz w:val="26"/>
                <w:szCs w:val="26"/>
                <w:u w:val="single"/>
              </w:rPr>
              <w:t>sanctity of contracts</w:t>
            </w:r>
            <w:r w:rsidRPr="000B220C">
              <w:rPr>
                <w:rFonts w:ascii="Bookman Old Style" w:hAnsi="Bookman Old Style"/>
                <w:sz w:val="26"/>
                <w:szCs w:val="26"/>
              </w:rPr>
              <w:t xml:space="preserve"> and of private property.  This decision was important in assuring economic development and encouraging investment in new corporations.  In addition</w:t>
            </w:r>
            <w:smartTag w:uri="urn:schemas-microsoft-com:office:smarttags" w:element="PersonName">
              <w:r w:rsidRPr="000B220C">
                <w:rPr>
                  <w:rFonts w:ascii="Bookman Old Style" w:hAnsi="Bookman Old Style"/>
                  <w:sz w:val="26"/>
                  <w:szCs w:val="26"/>
                </w:rPr>
                <w:t>, i</w:t>
              </w:r>
            </w:smartTag>
            <w:r w:rsidRPr="000B220C">
              <w:rPr>
                <w:rFonts w:ascii="Bookman Old Style" w:hAnsi="Bookman Old Style"/>
                <w:sz w:val="26"/>
                <w:szCs w:val="26"/>
              </w:rPr>
              <w:t xml:space="preserve">t set a precedent for the Supreme Court </w:t>
            </w:r>
            <w:proofErr w:type="spellStart"/>
            <w:r w:rsidRPr="000B220C">
              <w:rPr>
                <w:rFonts w:ascii="Bookman Old Style" w:hAnsi="Bookman Old Style"/>
                <w:sz w:val="26"/>
                <w:szCs w:val="26"/>
              </w:rPr>
              <w:t>o</w:t>
            </w:r>
            <w:proofErr w:type="spellEnd"/>
            <w:r w:rsidRPr="000B220C">
              <w:rPr>
                <w:rFonts w:ascii="Bookman Old Style" w:hAnsi="Bookman Old Style"/>
                <w:sz w:val="26"/>
                <w:szCs w:val="26"/>
              </w:rPr>
              <w:t xml:space="preserve"> overturn acts of state legislatures</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361198">
            <w:pPr>
              <w:jc w:val="both"/>
            </w:pPr>
          </w:p>
          <w:p w:rsidR="000B220C" w:rsidRDefault="000B220C" w:rsidP="00361198">
            <w:pPr>
              <w:jc w:val="both"/>
            </w:pPr>
          </w:p>
          <w:p w:rsidR="004C587D" w:rsidRPr="000B220C" w:rsidRDefault="000B220C" w:rsidP="000B220C">
            <w:pPr>
              <w:rPr>
                <w:sz w:val="50"/>
                <w:szCs w:val="50"/>
              </w:rPr>
            </w:pPr>
            <w:r>
              <w:rPr>
                <w:rFonts w:ascii="Bookman Old Style" w:hAnsi="Bookman Old Style"/>
                <w:sz w:val="50"/>
                <w:szCs w:val="50"/>
              </w:rPr>
              <w:t xml:space="preserve">Gibbons v </w:t>
            </w:r>
            <w:r w:rsidRPr="000B220C">
              <w:rPr>
                <w:rFonts w:ascii="Bookman Old Style" w:hAnsi="Bookman Old Style"/>
                <w:sz w:val="50"/>
                <w:szCs w:val="50"/>
              </w:rPr>
              <w:t>Ogden (1824)</w:t>
            </w:r>
          </w:p>
        </w:tc>
        <w:tc>
          <w:tcPr>
            <w:tcW w:w="4788" w:type="dxa"/>
          </w:tcPr>
          <w:p w:rsidR="004C587D" w:rsidRDefault="000B220C" w:rsidP="000B220C">
            <w:r>
              <w:t>Supreme Court</w:t>
            </w:r>
          </w:p>
          <w:p w:rsidR="004C587D" w:rsidRDefault="000B220C" w:rsidP="000B220C">
            <w:r w:rsidRPr="0056657F">
              <w:rPr>
                <w:rFonts w:ascii="Bookman Old Style" w:hAnsi="Bookman Old Style"/>
                <w:sz w:val="22"/>
                <w:szCs w:val="22"/>
              </w:rPr>
              <w:t>The key issue</w:t>
            </w:r>
            <w:r>
              <w:rPr>
                <w:rFonts w:ascii="Bookman Old Style" w:hAnsi="Bookman Old Style"/>
                <w:sz w:val="22"/>
                <w:szCs w:val="22"/>
              </w:rPr>
              <w:t xml:space="preserve"> was</w:t>
            </w:r>
            <w:r w:rsidRPr="0056657F">
              <w:rPr>
                <w:rFonts w:ascii="Bookman Old Style" w:hAnsi="Bookman Old Style"/>
                <w:sz w:val="22"/>
                <w:szCs w:val="22"/>
              </w:rPr>
              <w:t xml:space="preserve"> </w:t>
            </w:r>
            <w:r>
              <w:rPr>
                <w:rFonts w:ascii="Bookman Old Style" w:hAnsi="Bookman Old Style"/>
                <w:sz w:val="22"/>
                <w:szCs w:val="22"/>
              </w:rPr>
              <w:t>c</w:t>
            </w:r>
            <w:r w:rsidRPr="0015408D">
              <w:rPr>
                <w:rFonts w:ascii="Bookman Old Style" w:hAnsi="Bookman Old Style"/>
                <w:sz w:val="22"/>
                <w:szCs w:val="22"/>
              </w:rPr>
              <w:t xml:space="preserve">an a </w:t>
            </w:r>
            <w:r w:rsidRPr="0015408D">
              <w:rPr>
                <w:rFonts w:ascii="Bookman Old Style" w:hAnsi="Bookman Old Style"/>
                <w:sz w:val="22"/>
                <w:szCs w:val="22"/>
                <w:u w:val="single"/>
              </w:rPr>
              <w:t>state</w:t>
            </w:r>
            <w:r w:rsidRPr="0015408D">
              <w:rPr>
                <w:rFonts w:ascii="Bookman Old Style" w:hAnsi="Bookman Old Style"/>
                <w:sz w:val="22"/>
                <w:szCs w:val="22"/>
              </w:rPr>
              <w:t xml:space="preserve"> grant commercial rights that conflict with </w:t>
            </w:r>
            <w:r w:rsidRPr="0015408D">
              <w:rPr>
                <w:rFonts w:ascii="Bookman Old Style" w:hAnsi="Bookman Old Style"/>
                <w:i/>
                <w:sz w:val="22"/>
                <w:szCs w:val="22"/>
              </w:rPr>
              <w:t>federal law?</w:t>
            </w:r>
            <w:r>
              <w:rPr>
                <w:rFonts w:ascii="Bookman Old Style" w:hAnsi="Bookman Old Style"/>
                <w:sz w:val="22"/>
                <w:szCs w:val="22"/>
              </w:rPr>
              <w:t xml:space="preserve">  The larger significance is that t</w:t>
            </w:r>
            <w:r w:rsidRPr="0015408D">
              <w:rPr>
                <w:rFonts w:ascii="Bookman Old Style" w:hAnsi="Bookman Old Style"/>
                <w:sz w:val="22"/>
                <w:szCs w:val="22"/>
              </w:rPr>
              <w:t xml:space="preserve">he power to regulate interstate commerce rests with the Federal government.  The Court’s decision in </w:t>
            </w:r>
            <w:r w:rsidRPr="0015408D">
              <w:rPr>
                <w:rFonts w:ascii="Bookman Old Style" w:hAnsi="Bookman Old Style"/>
                <w:i/>
                <w:sz w:val="22"/>
                <w:szCs w:val="22"/>
              </w:rPr>
              <w:t xml:space="preserve">Gibbons </w:t>
            </w:r>
            <w:proofErr w:type="spellStart"/>
            <w:r w:rsidRPr="0015408D">
              <w:rPr>
                <w:rFonts w:ascii="Bookman Old Style" w:hAnsi="Bookman Old Style"/>
                <w:i/>
                <w:sz w:val="22"/>
                <w:szCs w:val="22"/>
              </w:rPr>
              <w:t>vs</w:t>
            </w:r>
            <w:proofErr w:type="spellEnd"/>
            <w:r w:rsidRPr="0015408D">
              <w:rPr>
                <w:rFonts w:ascii="Bookman Old Style" w:hAnsi="Bookman Old Style"/>
                <w:i/>
                <w:sz w:val="22"/>
                <w:szCs w:val="22"/>
              </w:rPr>
              <w:t xml:space="preserve"> </w:t>
            </w:r>
            <w:smartTag w:uri="urn:schemas-microsoft-com:office:smarttags" w:element="place">
              <w:smartTag w:uri="urn:schemas-microsoft-com:office:smarttags" w:element="City">
                <w:r w:rsidRPr="0015408D">
                  <w:rPr>
                    <w:rFonts w:ascii="Bookman Old Style" w:hAnsi="Bookman Old Style"/>
                    <w:i/>
                    <w:sz w:val="22"/>
                    <w:szCs w:val="22"/>
                  </w:rPr>
                  <w:t>Ogden</w:t>
                </w:r>
              </w:smartTag>
            </w:smartTag>
            <w:r w:rsidRPr="0015408D">
              <w:rPr>
                <w:rFonts w:ascii="Bookman Old Style" w:hAnsi="Bookman Old Style"/>
                <w:sz w:val="22"/>
                <w:szCs w:val="22"/>
              </w:rPr>
              <w:t xml:space="preserve"> secures the concept of a national common market and prevents states from impeding commerce within that market and further supported the Supremacy doctrine of the federal government.</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lastRenderedPageBreak/>
              <w:t>Supreme Court</w:t>
            </w:r>
          </w:p>
          <w:p w:rsidR="004C587D" w:rsidRDefault="004C587D" w:rsidP="000B220C"/>
          <w:p w:rsidR="004C587D" w:rsidRDefault="004C587D" w:rsidP="000B220C"/>
          <w:p w:rsidR="004C587D" w:rsidRDefault="004C587D" w:rsidP="00361198">
            <w:pPr>
              <w:jc w:val="both"/>
            </w:pPr>
          </w:p>
          <w:p w:rsidR="000B220C" w:rsidRDefault="000B220C" w:rsidP="000B220C">
            <w:pPr>
              <w:rPr>
                <w:rFonts w:ascii="Bookman Old Style" w:hAnsi="Bookman Old Style"/>
                <w:sz w:val="50"/>
                <w:szCs w:val="50"/>
              </w:rPr>
            </w:pPr>
            <w:r>
              <w:rPr>
                <w:rFonts w:ascii="Bookman Old Style" w:hAnsi="Bookman Old Style"/>
                <w:sz w:val="50"/>
                <w:szCs w:val="50"/>
              </w:rPr>
              <w:t>Dred Scott v</w:t>
            </w:r>
            <w:r w:rsidRPr="000B220C">
              <w:rPr>
                <w:rFonts w:ascii="Bookman Old Style" w:hAnsi="Bookman Old Style"/>
                <w:sz w:val="50"/>
                <w:szCs w:val="50"/>
              </w:rPr>
              <w:t xml:space="preserve"> Sanford</w:t>
            </w:r>
          </w:p>
          <w:p w:rsidR="004C587D" w:rsidRPr="000B220C" w:rsidRDefault="000B220C" w:rsidP="000B220C">
            <w:pPr>
              <w:rPr>
                <w:sz w:val="50"/>
                <w:szCs w:val="50"/>
              </w:rPr>
            </w:pPr>
            <w:r w:rsidRPr="000B220C">
              <w:rPr>
                <w:rFonts w:ascii="Bookman Old Style" w:hAnsi="Bookman Old Style"/>
                <w:sz w:val="50"/>
                <w:szCs w:val="50"/>
              </w:rPr>
              <w:t xml:space="preserve"> (1857)</w:t>
            </w:r>
          </w:p>
        </w:tc>
        <w:tc>
          <w:tcPr>
            <w:tcW w:w="4788" w:type="dxa"/>
          </w:tcPr>
          <w:p w:rsidR="000B220C" w:rsidRDefault="000B220C" w:rsidP="000B220C">
            <w:r>
              <w:t>Supreme Court</w:t>
            </w:r>
          </w:p>
          <w:p w:rsidR="004C587D" w:rsidRDefault="004C587D" w:rsidP="000B220C"/>
          <w:p w:rsidR="004C587D" w:rsidRDefault="004C587D" w:rsidP="000B220C"/>
          <w:p w:rsidR="004C587D" w:rsidRDefault="000B220C" w:rsidP="000B220C">
            <w:pPr>
              <w:rPr>
                <w:sz w:val="32"/>
                <w:szCs w:val="32"/>
              </w:rPr>
            </w:pPr>
            <w:r>
              <w:rPr>
                <w:sz w:val="32"/>
                <w:szCs w:val="32"/>
              </w:rPr>
              <w:t>Established that slaves are</w:t>
            </w:r>
          </w:p>
          <w:p w:rsidR="000B220C" w:rsidRDefault="000B220C" w:rsidP="000B220C">
            <w:r>
              <w:rPr>
                <w:sz w:val="32"/>
                <w:szCs w:val="32"/>
              </w:rPr>
              <w:t>Legally considered property and therefore cannot file a lawsuit. Also said Congress had no power to outlaw slavery in any state or territory.</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0B220C"/>
          <w:p w:rsidR="004C587D" w:rsidRDefault="004C587D" w:rsidP="000B220C"/>
          <w:p w:rsidR="004C587D" w:rsidRPr="000B220C" w:rsidRDefault="000B220C" w:rsidP="000B220C">
            <w:pPr>
              <w:rPr>
                <w:sz w:val="50"/>
                <w:szCs w:val="50"/>
              </w:rPr>
            </w:pPr>
            <w:proofErr w:type="spellStart"/>
            <w:r w:rsidRPr="000B220C">
              <w:rPr>
                <w:rFonts w:ascii="Bookman Old Style" w:hAnsi="Bookman Old Style"/>
                <w:sz w:val="50"/>
                <w:szCs w:val="50"/>
              </w:rPr>
              <w:t>Plessy</w:t>
            </w:r>
            <w:proofErr w:type="spellEnd"/>
            <w:r w:rsidRPr="000B220C">
              <w:rPr>
                <w:rFonts w:ascii="Bookman Old Style" w:hAnsi="Bookman Old Style"/>
                <w:sz w:val="50"/>
                <w:szCs w:val="50"/>
              </w:rPr>
              <w:t xml:space="preserve"> v</w:t>
            </w:r>
            <w:r>
              <w:rPr>
                <w:rFonts w:ascii="Bookman Old Style" w:hAnsi="Bookman Old Style"/>
                <w:sz w:val="50"/>
                <w:szCs w:val="50"/>
              </w:rPr>
              <w:t xml:space="preserve">. Ferguson </w:t>
            </w:r>
            <w:r w:rsidRPr="000B220C">
              <w:rPr>
                <w:rFonts w:ascii="Bookman Old Style" w:hAnsi="Bookman Old Style"/>
                <w:sz w:val="50"/>
                <w:szCs w:val="50"/>
              </w:rPr>
              <w:t xml:space="preserve"> (1896)</w:t>
            </w:r>
          </w:p>
        </w:tc>
        <w:tc>
          <w:tcPr>
            <w:tcW w:w="4788" w:type="dxa"/>
          </w:tcPr>
          <w:p w:rsidR="000B220C" w:rsidRDefault="000B220C" w:rsidP="000B220C">
            <w:r>
              <w:t>Supreme Court</w:t>
            </w:r>
          </w:p>
          <w:p w:rsidR="004C587D" w:rsidRDefault="004C587D" w:rsidP="000B220C"/>
          <w:p w:rsidR="004C587D" w:rsidRDefault="004C587D" w:rsidP="000B220C"/>
          <w:p w:rsidR="004C587D" w:rsidRDefault="004C587D" w:rsidP="004C587D">
            <w:pPr>
              <w:jc w:val="both"/>
            </w:pPr>
          </w:p>
          <w:p w:rsidR="000B220C" w:rsidRDefault="000B220C" w:rsidP="000B220C">
            <w:pPr>
              <w:rPr>
                <w:sz w:val="32"/>
                <w:szCs w:val="32"/>
              </w:rPr>
            </w:pPr>
            <w:r>
              <w:rPr>
                <w:sz w:val="32"/>
                <w:szCs w:val="32"/>
              </w:rPr>
              <w:t xml:space="preserve">Separate but Equal doctrine established. Legalized </w:t>
            </w:r>
          </w:p>
          <w:p w:rsidR="004C587D" w:rsidRDefault="000B220C" w:rsidP="000B220C">
            <w:proofErr w:type="gramStart"/>
            <w:r>
              <w:rPr>
                <w:sz w:val="32"/>
                <w:szCs w:val="32"/>
              </w:rPr>
              <w:t>segregation</w:t>
            </w:r>
            <w:proofErr w:type="gramEnd"/>
            <w:r>
              <w:rPr>
                <w:sz w:val="32"/>
                <w:szCs w:val="32"/>
              </w:rPr>
              <w:t xml:space="preserve"> laws.</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0B220C"/>
          <w:p w:rsidR="004C587D" w:rsidRDefault="004C587D" w:rsidP="004C587D">
            <w:pPr>
              <w:jc w:val="both"/>
            </w:pPr>
          </w:p>
          <w:p w:rsidR="000B220C" w:rsidRDefault="000B220C" w:rsidP="000B220C">
            <w:pPr>
              <w:rPr>
                <w:rFonts w:ascii="Bookman Old Style" w:hAnsi="Bookman Old Style"/>
                <w:sz w:val="50"/>
                <w:szCs w:val="50"/>
              </w:rPr>
            </w:pPr>
            <w:r w:rsidRPr="000B220C">
              <w:rPr>
                <w:rFonts w:ascii="Bookman Old Style" w:hAnsi="Bookman Old Style"/>
                <w:sz w:val="50"/>
                <w:szCs w:val="50"/>
              </w:rPr>
              <w:t xml:space="preserve">Brown v. Board of Education </w:t>
            </w:r>
          </w:p>
          <w:p w:rsidR="004C587D" w:rsidRPr="000B220C" w:rsidRDefault="000B220C" w:rsidP="000B220C">
            <w:pPr>
              <w:rPr>
                <w:sz w:val="50"/>
                <w:szCs w:val="50"/>
              </w:rPr>
            </w:pPr>
            <w:r w:rsidRPr="000B220C">
              <w:rPr>
                <w:rFonts w:ascii="Bookman Old Style" w:hAnsi="Bookman Old Style"/>
                <w:sz w:val="50"/>
                <w:szCs w:val="50"/>
              </w:rPr>
              <w:t>(1954</w:t>
            </w:r>
            <w:r>
              <w:rPr>
                <w:rFonts w:ascii="Bookman Old Style" w:hAnsi="Bookman Old Style"/>
                <w:sz w:val="50"/>
                <w:szCs w:val="50"/>
              </w:rPr>
              <w:t>)</w:t>
            </w:r>
          </w:p>
        </w:tc>
        <w:tc>
          <w:tcPr>
            <w:tcW w:w="4788" w:type="dxa"/>
          </w:tcPr>
          <w:p w:rsidR="000B220C" w:rsidRDefault="000B220C" w:rsidP="000B220C">
            <w:r>
              <w:t>Supreme Court</w:t>
            </w:r>
          </w:p>
          <w:p w:rsidR="004C587D" w:rsidRPr="004C587D" w:rsidRDefault="004C587D" w:rsidP="000B220C">
            <w:pPr>
              <w:rPr>
                <w:sz w:val="32"/>
                <w:szCs w:val="32"/>
              </w:rPr>
            </w:pPr>
          </w:p>
          <w:p w:rsidR="004C587D" w:rsidRPr="004C587D" w:rsidRDefault="004C587D" w:rsidP="004C587D">
            <w:pPr>
              <w:jc w:val="both"/>
              <w:rPr>
                <w:sz w:val="32"/>
                <w:szCs w:val="32"/>
              </w:rPr>
            </w:pPr>
          </w:p>
          <w:p w:rsidR="004C587D" w:rsidRDefault="000B220C" w:rsidP="000B220C">
            <w:pPr>
              <w:rPr>
                <w:sz w:val="32"/>
                <w:szCs w:val="32"/>
              </w:rPr>
            </w:pPr>
            <w:r>
              <w:rPr>
                <w:sz w:val="32"/>
                <w:szCs w:val="32"/>
              </w:rPr>
              <w:t>Segregation not constitutional</w:t>
            </w:r>
          </w:p>
          <w:p w:rsidR="000B220C" w:rsidRDefault="000B220C" w:rsidP="000B220C">
            <w:pPr>
              <w:rPr>
                <w:sz w:val="32"/>
                <w:szCs w:val="32"/>
              </w:rPr>
            </w:pPr>
            <w:r>
              <w:rPr>
                <w:sz w:val="32"/>
                <w:szCs w:val="32"/>
              </w:rPr>
              <w:t>In public schools. Overturned</w:t>
            </w:r>
          </w:p>
          <w:p w:rsidR="000B220C" w:rsidRPr="004C587D" w:rsidRDefault="000B220C" w:rsidP="000B220C">
            <w:pPr>
              <w:rPr>
                <w:sz w:val="32"/>
                <w:szCs w:val="32"/>
              </w:rPr>
            </w:pPr>
            <w:proofErr w:type="spellStart"/>
            <w:r>
              <w:rPr>
                <w:sz w:val="32"/>
                <w:szCs w:val="32"/>
              </w:rPr>
              <w:t>Plessy</w:t>
            </w:r>
            <w:proofErr w:type="spellEnd"/>
            <w:r>
              <w:rPr>
                <w:sz w:val="32"/>
                <w:szCs w:val="32"/>
              </w:rPr>
              <w:t xml:space="preserve"> v. Ferguson</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lastRenderedPageBreak/>
              <w:t>Supreme Court</w:t>
            </w:r>
          </w:p>
          <w:p w:rsidR="004C587D" w:rsidRDefault="004C587D" w:rsidP="000B220C"/>
          <w:p w:rsidR="004C587D" w:rsidRDefault="004C587D" w:rsidP="000B220C"/>
          <w:p w:rsidR="004C587D" w:rsidRPr="000B220C" w:rsidRDefault="000B220C" w:rsidP="000B220C">
            <w:pPr>
              <w:rPr>
                <w:sz w:val="50"/>
                <w:szCs w:val="50"/>
              </w:rPr>
            </w:pPr>
            <w:r w:rsidRPr="000B220C">
              <w:rPr>
                <w:rFonts w:ascii="Bookman Old Style" w:hAnsi="Bookman Old Style"/>
                <w:sz w:val="50"/>
                <w:szCs w:val="50"/>
              </w:rPr>
              <w:t xml:space="preserve">Warren Court Decisions  </w:t>
            </w:r>
          </w:p>
        </w:tc>
        <w:tc>
          <w:tcPr>
            <w:tcW w:w="4788" w:type="dxa"/>
          </w:tcPr>
          <w:p w:rsidR="000B220C" w:rsidRDefault="000B220C" w:rsidP="000B220C">
            <w:r>
              <w:t>Supreme Court</w:t>
            </w:r>
          </w:p>
          <w:p w:rsidR="004C587D" w:rsidRDefault="004C587D" w:rsidP="000B220C">
            <w:pPr>
              <w:rPr>
                <w:sz w:val="32"/>
                <w:szCs w:val="32"/>
              </w:rPr>
            </w:pPr>
          </w:p>
          <w:p w:rsidR="000B220C" w:rsidRPr="004C587D" w:rsidRDefault="000B220C" w:rsidP="000B220C">
            <w:pPr>
              <w:rPr>
                <w:sz w:val="32"/>
                <w:szCs w:val="32"/>
              </w:rPr>
            </w:pPr>
          </w:p>
          <w:p w:rsidR="000B220C" w:rsidRDefault="000B220C" w:rsidP="000B220C">
            <w:pPr>
              <w:rPr>
                <w:rFonts w:ascii="Bookman Old Style" w:hAnsi="Bookman Old Style"/>
                <w:sz w:val="32"/>
                <w:szCs w:val="32"/>
              </w:rPr>
            </w:pPr>
            <w:r w:rsidRPr="000B220C">
              <w:rPr>
                <w:rFonts w:ascii="Bookman Old Style" w:hAnsi="Bookman Old Style"/>
                <w:sz w:val="32"/>
                <w:szCs w:val="32"/>
              </w:rPr>
              <w:t xml:space="preserve">all cases expand </w:t>
            </w:r>
          </w:p>
          <w:p w:rsidR="004C587D" w:rsidRPr="000B220C" w:rsidRDefault="000B220C" w:rsidP="000B220C">
            <w:pPr>
              <w:rPr>
                <w:sz w:val="32"/>
                <w:szCs w:val="32"/>
              </w:rPr>
            </w:pPr>
            <w:r w:rsidRPr="000B220C">
              <w:rPr>
                <w:rFonts w:ascii="Bookman Old Style" w:hAnsi="Bookman Old Style"/>
                <w:sz w:val="32"/>
                <w:szCs w:val="32"/>
              </w:rPr>
              <w:t>individual rights</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0B220C"/>
          <w:p w:rsidR="004C587D" w:rsidRDefault="004C587D" w:rsidP="004C587D">
            <w:pPr>
              <w:jc w:val="both"/>
            </w:pPr>
          </w:p>
          <w:p w:rsidR="000B220C" w:rsidRDefault="000B220C" w:rsidP="000B220C">
            <w:pPr>
              <w:rPr>
                <w:rFonts w:ascii="Bookman Old Style" w:hAnsi="Bookman Old Style"/>
                <w:sz w:val="50"/>
                <w:szCs w:val="50"/>
              </w:rPr>
            </w:pPr>
            <w:r w:rsidRPr="000B220C">
              <w:rPr>
                <w:rFonts w:ascii="Bookman Old Style" w:hAnsi="Bookman Old Style"/>
                <w:sz w:val="50"/>
                <w:szCs w:val="50"/>
              </w:rPr>
              <w:t>Gideon V. Wainwright</w:t>
            </w:r>
          </w:p>
          <w:p w:rsidR="004C587D" w:rsidRPr="000B220C" w:rsidRDefault="000B220C" w:rsidP="000B220C">
            <w:pPr>
              <w:rPr>
                <w:sz w:val="50"/>
                <w:szCs w:val="50"/>
              </w:rPr>
            </w:pPr>
            <w:r w:rsidRPr="000B220C">
              <w:rPr>
                <w:rFonts w:ascii="Bookman Old Style" w:hAnsi="Bookman Old Style"/>
                <w:sz w:val="50"/>
                <w:szCs w:val="50"/>
              </w:rPr>
              <w:t xml:space="preserve">(1963)  </w:t>
            </w:r>
          </w:p>
        </w:tc>
        <w:tc>
          <w:tcPr>
            <w:tcW w:w="4788" w:type="dxa"/>
          </w:tcPr>
          <w:p w:rsidR="000B220C" w:rsidRDefault="000B220C" w:rsidP="000B220C">
            <w:r>
              <w:t>Supreme Court</w:t>
            </w:r>
          </w:p>
          <w:p w:rsidR="004C587D" w:rsidRDefault="004C587D" w:rsidP="00361198">
            <w:pPr>
              <w:jc w:val="both"/>
            </w:pPr>
          </w:p>
          <w:p w:rsidR="007F423C" w:rsidRDefault="007F423C" w:rsidP="00361198">
            <w:pPr>
              <w:jc w:val="both"/>
            </w:pPr>
          </w:p>
          <w:p w:rsidR="007F423C" w:rsidRDefault="007F423C" w:rsidP="000B220C">
            <w:pPr>
              <w:rPr>
                <w:rFonts w:ascii="Bookman Old Style" w:hAnsi="Bookman Old Style"/>
                <w:sz w:val="32"/>
                <w:szCs w:val="32"/>
              </w:rPr>
            </w:pPr>
            <w:r w:rsidRPr="007F423C">
              <w:rPr>
                <w:rFonts w:ascii="Bookman Old Style" w:hAnsi="Bookman Old Style"/>
                <w:sz w:val="32"/>
                <w:szCs w:val="32"/>
              </w:rPr>
              <w:t xml:space="preserve">all criminal defendants </w:t>
            </w:r>
          </w:p>
          <w:p w:rsidR="007F423C" w:rsidRDefault="007F423C" w:rsidP="000B220C">
            <w:pPr>
              <w:rPr>
                <w:rFonts w:ascii="Bookman Old Style" w:hAnsi="Bookman Old Style"/>
                <w:sz w:val="32"/>
                <w:szCs w:val="32"/>
              </w:rPr>
            </w:pPr>
            <w:r w:rsidRPr="007F423C">
              <w:rPr>
                <w:rFonts w:ascii="Bookman Old Style" w:hAnsi="Bookman Old Style"/>
                <w:sz w:val="32"/>
                <w:szCs w:val="32"/>
              </w:rPr>
              <w:t xml:space="preserve">have a right to legal </w:t>
            </w:r>
          </w:p>
          <w:p w:rsidR="004C587D" w:rsidRPr="007F423C" w:rsidRDefault="007F423C" w:rsidP="000B220C">
            <w:pPr>
              <w:rPr>
                <w:sz w:val="32"/>
                <w:szCs w:val="32"/>
              </w:rPr>
            </w:pPr>
            <w:proofErr w:type="gramStart"/>
            <w:r w:rsidRPr="007F423C">
              <w:rPr>
                <w:rFonts w:ascii="Bookman Old Style" w:hAnsi="Bookman Old Style"/>
                <w:sz w:val="32"/>
                <w:szCs w:val="32"/>
              </w:rPr>
              <w:t>counsel</w:t>
            </w:r>
            <w:proofErr w:type="gramEnd"/>
            <w:r w:rsidRPr="007F423C">
              <w:rPr>
                <w:rFonts w:ascii="Bookman Old Style" w:hAnsi="Bookman Old Style"/>
                <w:sz w:val="32"/>
                <w:szCs w:val="32"/>
              </w:rPr>
              <w:t xml:space="preserve"> (public defendant provided to poor).</w:t>
            </w:r>
          </w:p>
        </w:tc>
      </w:tr>
    </w:tbl>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4C587D" w:rsidTr="000B220C">
        <w:trPr>
          <w:trHeight w:val="3230"/>
        </w:trPr>
        <w:tc>
          <w:tcPr>
            <w:tcW w:w="4788" w:type="dxa"/>
          </w:tcPr>
          <w:p w:rsidR="000B220C" w:rsidRDefault="000B220C" w:rsidP="000B220C">
            <w:r>
              <w:t>Supreme Court</w:t>
            </w:r>
          </w:p>
          <w:p w:rsidR="004C587D" w:rsidRDefault="004C587D" w:rsidP="007F423C">
            <w:pPr>
              <w:jc w:val="both"/>
            </w:pPr>
          </w:p>
          <w:p w:rsidR="004C587D" w:rsidRDefault="004C587D" w:rsidP="00361198">
            <w:pPr>
              <w:jc w:val="both"/>
            </w:pPr>
          </w:p>
          <w:p w:rsidR="00361198" w:rsidRPr="007F423C" w:rsidRDefault="007F423C" w:rsidP="000B220C">
            <w:pPr>
              <w:rPr>
                <w:sz w:val="50"/>
                <w:szCs w:val="50"/>
              </w:rPr>
            </w:pPr>
            <w:r w:rsidRPr="007F423C">
              <w:rPr>
                <w:rFonts w:ascii="Bookman Old Style" w:hAnsi="Bookman Old Style"/>
                <w:sz w:val="50"/>
                <w:szCs w:val="50"/>
              </w:rPr>
              <w:t>Griswold v. Connecticut (1965)</w:t>
            </w:r>
          </w:p>
        </w:tc>
        <w:tc>
          <w:tcPr>
            <w:tcW w:w="4788" w:type="dxa"/>
          </w:tcPr>
          <w:p w:rsidR="004C587D" w:rsidRDefault="007F423C" w:rsidP="007F423C">
            <w:r>
              <w:t>Supreme Court</w:t>
            </w:r>
          </w:p>
          <w:p w:rsidR="007F423C" w:rsidRPr="007F423C" w:rsidRDefault="007F423C" w:rsidP="007F423C"/>
          <w:p w:rsidR="007F423C" w:rsidRDefault="007F423C" w:rsidP="000B220C">
            <w:pPr>
              <w:rPr>
                <w:rFonts w:ascii="Bookman Old Style" w:hAnsi="Bookman Old Style"/>
                <w:sz w:val="22"/>
                <w:szCs w:val="22"/>
              </w:rPr>
            </w:pPr>
            <w:r>
              <w:rPr>
                <w:rFonts w:ascii="Bookman Old Style" w:hAnsi="Bookman Old Style"/>
                <w:sz w:val="22"/>
                <w:szCs w:val="22"/>
              </w:rPr>
              <w:t xml:space="preserve">a couple in Connecticut had been convicted of using contraceptives </w:t>
            </w:r>
          </w:p>
          <w:p w:rsidR="007F423C" w:rsidRDefault="007F423C" w:rsidP="000B220C">
            <w:pPr>
              <w:rPr>
                <w:rFonts w:ascii="Bookman Old Style" w:hAnsi="Bookman Old Style"/>
                <w:sz w:val="22"/>
                <w:szCs w:val="22"/>
              </w:rPr>
            </w:pPr>
            <w:proofErr w:type="gramStart"/>
            <w:r>
              <w:rPr>
                <w:rFonts w:ascii="Bookman Old Style" w:hAnsi="Bookman Old Style"/>
                <w:sz w:val="22"/>
                <w:szCs w:val="22"/>
              </w:rPr>
              <w:t>violating</w:t>
            </w:r>
            <w:proofErr w:type="gramEnd"/>
            <w:r>
              <w:rPr>
                <w:rFonts w:ascii="Bookman Old Style" w:hAnsi="Bookman Old Style"/>
                <w:sz w:val="22"/>
                <w:szCs w:val="22"/>
              </w:rPr>
              <w:t xml:space="preserve"> a Connecticut law.  The </w:t>
            </w:r>
          </w:p>
          <w:p w:rsidR="007F423C" w:rsidRDefault="007F423C" w:rsidP="000B220C">
            <w:pPr>
              <w:rPr>
                <w:rFonts w:ascii="Bookman Old Style" w:hAnsi="Bookman Old Style"/>
                <w:sz w:val="22"/>
                <w:szCs w:val="22"/>
              </w:rPr>
            </w:pPr>
            <w:r>
              <w:rPr>
                <w:rFonts w:ascii="Bookman Old Style" w:hAnsi="Bookman Old Style"/>
                <w:sz w:val="22"/>
                <w:szCs w:val="22"/>
              </w:rPr>
              <w:t>Supreme Court overturned it ruling</w:t>
            </w:r>
          </w:p>
          <w:p w:rsidR="007F423C" w:rsidRDefault="007F423C" w:rsidP="000B220C">
            <w:pPr>
              <w:rPr>
                <w:rFonts w:ascii="Bookman Old Style" w:hAnsi="Bookman Old Style"/>
                <w:sz w:val="22"/>
                <w:szCs w:val="22"/>
              </w:rPr>
            </w:pPr>
            <w:r>
              <w:rPr>
                <w:rFonts w:ascii="Bookman Old Style" w:hAnsi="Bookman Old Style"/>
                <w:sz w:val="22"/>
                <w:szCs w:val="22"/>
              </w:rPr>
              <w:t xml:space="preserve"> </w:t>
            </w:r>
            <w:proofErr w:type="gramStart"/>
            <w:r>
              <w:rPr>
                <w:rFonts w:ascii="Bookman Old Style" w:hAnsi="Bookman Old Style"/>
                <w:sz w:val="22"/>
                <w:szCs w:val="22"/>
              </w:rPr>
              <w:t>their</w:t>
            </w:r>
            <w:proofErr w:type="gramEnd"/>
            <w:r>
              <w:rPr>
                <w:rFonts w:ascii="Bookman Old Style" w:hAnsi="Bookman Old Style"/>
                <w:sz w:val="22"/>
                <w:szCs w:val="22"/>
              </w:rPr>
              <w:t xml:space="preserve"> privacy had been violated.  This case established an important </w:t>
            </w:r>
          </w:p>
          <w:p w:rsidR="007F423C" w:rsidRDefault="007F423C" w:rsidP="000B220C">
            <w:pPr>
              <w:rPr>
                <w:rFonts w:ascii="Bookman Old Style" w:hAnsi="Bookman Old Style"/>
                <w:i/>
                <w:sz w:val="22"/>
                <w:szCs w:val="22"/>
              </w:rPr>
            </w:pPr>
            <w:r>
              <w:rPr>
                <w:rFonts w:ascii="Bookman Old Style" w:hAnsi="Bookman Old Style"/>
                <w:sz w:val="22"/>
                <w:szCs w:val="22"/>
              </w:rPr>
              <w:t xml:space="preserve">Supreme Court precedent that the Constitution implied a </w:t>
            </w:r>
            <w:r w:rsidRPr="009A3995">
              <w:rPr>
                <w:rFonts w:ascii="Bookman Old Style" w:hAnsi="Bookman Old Style"/>
                <w:i/>
                <w:sz w:val="22"/>
                <w:szCs w:val="22"/>
              </w:rPr>
              <w:t xml:space="preserve">right to </w:t>
            </w:r>
            <w:r>
              <w:rPr>
                <w:rFonts w:ascii="Bookman Old Style" w:hAnsi="Bookman Old Style"/>
                <w:i/>
                <w:sz w:val="22"/>
                <w:szCs w:val="22"/>
              </w:rPr>
              <w:t>privacy</w:t>
            </w:r>
          </w:p>
          <w:p w:rsidR="007F423C" w:rsidRDefault="007F423C" w:rsidP="007F423C">
            <w:pPr>
              <w:rPr>
                <w:rFonts w:ascii="Bookman Old Style" w:hAnsi="Bookman Old Style"/>
                <w:sz w:val="22"/>
                <w:szCs w:val="22"/>
              </w:rPr>
            </w:pPr>
            <w:r>
              <w:rPr>
                <w:rFonts w:ascii="Bookman Old Style" w:hAnsi="Bookman Old Style"/>
                <w:sz w:val="22"/>
                <w:szCs w:val="22"/>
              </w:rPr>
              <w:t>in the 1</w:t>
            </w:r>
            <w:r w:rsidRPr="009A3995">
              <w:rPr>
                <w:rFonts w:ascii="Bookman Old Style" w:hAnsi="Bookman Old Style"/>
                <w:sz w:val="22"/>
                <w:szCs w:val="22"/>
                <w:vertAlign w:val="superscript"/>
              </w:rPr>
              <w:t>st</w:t>
            </w:r>
            <w:r>
              <w:rPr>
                <w:rFonts w:ascii="Bookman Old Style" w:hAnsi="Bookman Old Style"/>
                <w:sz w:val="22"/>
                <w:szCs w:val="22"/>
              </w:rPr>
              <w:t xml:space="preserve"> and 14</w:t>
            </w:r>
            <w:r w:rsidRPr="009A3995">
              <w:rPr>
                <w:rFonts w:ascii="Bookman Old Style" w:hAnsi="Bookman Old Style"/>
                <w:sz w:val="22"/>
                <w:szCs w:val="22"/>
                <w:vertAlign w:val="superscript"/>
              </w:rPr>
              <w:t>th</w:t>
            </w:r>
            <w:r>
              <w:rPr>
                <w:rFonts w:ascii="Bookman Old Style" w:hAnsi="Bookman Old Style"/>
                <w:sz w:val="22"/>
                <w:szCs w:val="22"/>
              </w:rPr>
              <w:t xml:space="preserve"> Amendments</w:t>
            </w:r>
          </w:p>
          <w:p w:rsidR="004C587D" w:rsidRPr="00361198" w:rsidRDefault="007F423C" w:rsidP="007F423C">
            <w:pPr>
              <w:rPr>
                <w:sz w:val="32"/>
                <w:szCs w:val="32"/>
              </w:rPr>
            </w:pPr>
            <w:r>
              <w:rPr>
                <w:rFonts w:ascii="Bookman Old Style" w:hAnsi="Bookman Old Style"/>
                <w:sz w:val="22"/>
                <w:szCs w:val="22"/>
              </w:rPr>
              <w:t>(</w:t>
            </w:r>
            <w:proofErr w:type="gramStart"/>
            <w:r>
              <w:rPr>
                <w:rFonts w:ascii="Bookman Old Style" w:hAnsi="Bookman Old Style"/>
                <w:sz w:val="22"/>
                <w:szCs w:val="22"/>
              </w:rPr>
              <w:t>due</w:t>
            </w:r>
            <w:proofErr w:type="gramEnd"/>
            <w:r>
              <w:rPr>
                <w:rFonts w:ascii="Bookman Old Style" w:hAnsi="Bookman Old Style"/>
                <w:sz w:val="22"/>
                <w:szCs w:val="22"/>
              </w:rPr>
              <w:t xml:space="preserve"> process clause).</w:t>
            </w:r>
          </w:p>
        </w:tc>
      </w:tr>
    </w:tbl>
    <w:p w:rsidR="004C587D" w:rsidRDefault="004C587D"/>
    <w:p w:rsidR="004C587D" w:rsidRDefault="004C587D"/>
    <w:p w:rsidR="004C587D" w:rsidRDefault="004C587D"/>
    <w:p w:rsidR="004C587D" w:rsidRDefault="004C587D"/>
    <w:p w:rsidR="004C587D" w:rsidRDefault="004C587D"/>
    <w:tbl>
      <w:tblPr>
        <w:tblStyle w:val="TableGrid"/>
        <w:tblW w:w="0" w:type="auto"/>
        <w:tblLook w:val="04A0" w:firstRow="1" w:lastRow="0" w:firstColumn="1" w:lastColumn="0" w:noHBand="0" w:noVBand="1"/>
      </w:tblPr>
      <w:tblGrid>
        <w:gridCol w:w="4788"/>
        <w:gridCol w:w="4788"/>
      </w:tblGrid>
      <w:tr w:rsidR="00361198" w:rsidTr="000B220C">
        <w:trPr>
          <w:trHeight w:val="3230"/>
        </w:trPr>
        <w:tc>
          <w:tcPr>
            <w:tcW w:w="4788" w:type="dxa"/>
          </w:tcPr>
          <w:p w:rsidR="000B220C" w:rsidRDefault="000B220C" w:rsidP="000B220C">
            <w:r>
              <w:lastRenderedPageBreak/>
              <w:t>Supreme Court</w:t>
            </w:r>
          </w:p>
          <w:p w:rsidR="00361198" w:rsidRDefault="00361198" w:rsidP="000B220C"/>
          <w:p w:rsidR="00361198" w:rsidRDefault="00361198" w:rsidP="000B220C"/>
          <w:p w:rsidR="007F423C" w:rsidRDefault="007F423C" w:rsidP="000B220C">
            <w:pPr>
              <w:rPr>
                <w:rFonts w:ascii="Bookman Old Style" w:hAnsi="Bookman Old Style"/>
                <w:sz w:val="50"/>
                <w:szCs w:val="50"/>
              </w:rPr>
            </w:pPr>
            <w:r w:rsidRPr="007F423C">
              <w:rPr>
                <w:rFonts w:ascii="Bookman Old Style" w:hAnsi="Bookman Old Style"/>
                <w:sz w:val="50"/>
                <w:szCs w:val="50"/>
              </w:rPr>
              <w:t xml:space="preserve">Miranda v. Arizona </w:t>
            </w:r>
          </w:p>
          <w:p w:rsidR="00361198" w:rsidRPr="007F423C" w:rsidRDefault="007F423C" w:rsidP="000B220C">
            <w:pPr>
              <w:rPr>
                <w:sz w:val="50"/>
                <w:szCs w:val="50"/>
              </w:rPr>
            </w:pPr>
            <w:r w:rsidRPr="007F423C">
              <w:rPr>
                <w:rFonts w:ascii="Bookman Old Style" w:hAnsi="Bookman Old Style"/>
                <w:sz w:val="50"/>
                <w:szCs w:val="50"/>
              </w:rPr>
              <w:t>(1966)</w:t>
            </w:r>
          </w:p>
        </w:tc>
        <w:tc>
          <w:tcPr>
            <w:tcW w:w="4788" w:type="dxa"/>
          </w:tcPr>
          <w:p w:rsidR="000B220C" w:rsidRDefault="000B220C" w:rsidP="000B220C">
            <w:r>
              <w:t>Supreme Court</w:t>
            </w:r>
          </w:p>
          <w:p w:rsidR="00361198" w:rsidRDefault="00361198" w:rsidP="00361198">
            <w:pPr>
              <w:jc w:val="both"/>
              <w:rPr>
                <w:sz w:val="32"/>
                <w:szCs w:val="32"/>
              </w:rPr>
            </w:pPr>
          </w:p>
          <w:p w:rsidR="007F423C" w:rsidRPr="00361198" w:rsidRDefault="007F423C" w:rsidP="00361198">
            <w:pPr>
              <w:jc w:val="both"/>
              <w:rPr>
                <w:sz w:val="32"/>
                <w:szCs w:val="32"/>
              </w:rPr>
            </w:pPr>
          </w:p>
          <w:p w:rsidR="00361198" w:rsidRDefault="007F423C" w:rsidP="000B220C">
            <w:pPr>
              <w:rPr>
                <w:sz w:val="32"/>
                <w:szCs w:val="32"/>
              </w:rPr>
            </w:pPr>
            <w:r>
              <w:rPr>
                <w:sz w:val="32"/>
                <w:szCs w:val="32"/>
              </w:rPr>
              <w:t>Police are required to advise</w:t>
            </w:r>
          </w:p>
          <w:p w:rsidR="007F423C" w:rsidRDefault="007F423C" w:rsidP="000B220C">
            <w:pPr>
              <w:rPr>
                <w:sz w:val="32"/>
                <w:szCs w:val="32"/>
              </w:rPr>
            </w:pPr>
            <w:r>
              <w:rPr>
                <w:sz w:val="32"/>
                <w:szCs w:val="32"/>
              </w:rPr>
              <w:t xml:space="preserve">Arrestees of their rights, </w:t>
            </w:r>
          </w:p>
          <w:p w:rsidR="007F423C" w:rsidRPr="00361198" w:rsidRDefault="007F423C" w:rsidP="000B220C">
            <w:pPr>
              <w:rPr>
                <w:sz w:val="32"/>
                <w:szCs w:val="32"/>
              </w:rPr>
            </w:pPr>
            <w:r>
              <w:rPr>
                <w:sz w:val="32"/>
                <w:szCs w:val="32"/>
              </w:rPr>
              <w:t>Including right to remain silent</w:t>
            </w:r>
          </w:p>
        </w:tc>
      </w:tr>
    </w:tbl>
    <w:p w:rsidR="004C587D" w:rsidRDefault="004C587D"/>
    <w:p w:rsidR="007F423C" w:rsidRDefault="007F423C">
      <w:bookmarkStart w:id="0" w:name="_GoBack"/>
      <w:bookmarkEnd w:id="0"/>
    </w:p>
    <w:tbl>
      <w:tblPr>
        <w:tblStyle w:val="TableGrid"/>
        <w:tblW w:w="0" w:type="auto"/>
        <w:tblLook w:val="04A0" w:firstRow="1" w:lastRow="0" w:firstColumn="1" w:lastColumn="0" w:noHBand="0" w:noVBand="1"/>
      </w:tblPr>
      <w:tblGrid>
        <w:gridCol w:w="4788"/>
        <w:gridCol w:w="4788"/>
      </w:tblGrid>
      <w:tr w:rsidR="00361198" w:rsidTr="000B220C">
        <w:trPr>
          <w:trHeight w:val="3230"/>
        </w:trPr>
        <w:tc>
          <w:tcPr>
            <w:tcW w:w="4788" w:type="dxa"/>
          </w:tcPr>
          <w:p w:rsidR="000B220C" w:rsidRDefault="000B220C" w:rsidP="000B220C">
            <w:r>
              <w:t>Supreme Court</w:t>
            </w:r>
          </w:p>
          <w:p w:rsidR="00361198" w:rsidRDefault="00361198" w:rsidP="000B220C"/>
          <w:p w:rsidR="00361198" w:rsidRDefault="00361198" w:rsidP="00361198">
            <w:pPr>
              <w:jc w:val="both"/>
            </w:pPr>
          </w:p>
          <w:p w:rsidR="00361198" w:rsidRPr="007F423C" w:rsidRDefault="007F423C" w:rsidP="000B220C">
            <w:pPr>
              <w:rPr>
                <w:sz w:val="50"/>
                <w:szCs w:val="50"/>
              </w:rPr>
            </w:pPr>
            <w:r w:rsidRPr="007F423C">
              <w:rPr>
                <w:rFonts w:ascii="Bookman Old Style" w:hAnsi="Bookman Old Style"/>
                <w:sz w:val="50"/>
                <w:szCs w:val="50"/>
              </w:rPr>
              <w:t>Roe v. Wade (1973)</w:t>
            </w:r>
          </w:p>
        </w:tc>
        <w:tc>
          <w:tcPr>
            <w:tcW w:w="4788" w:type="dxa"/>
          </w:tcPr>
          <w:p w:rsidR="000B220C" w:rsidRDefault="000B220C" w:rsidP="000B220C">
            <w:r>
              <w:t>Supreme Court</w:t>
            </w:r>
          </w:p>
          <w:p w:rsidR="00361198" w:rsidRPr="00361198" w:rsidRDefault="00361198" w:rsidP="000B220C">
            <w:pPr>
              <w:rPr>
                <w:sz w:val="32"/>
                <w:szCs w:val="32"/>
              </w:rPr>
            </w:pPr>
          </w:p>
          <w:p w:rsidR="00361198" w:rsidRDefault="007F423C" w:rsidP="000B220C">
            <w:pPr>
              <w:rPr>
                <w:sz w:val="32"/>
                <w:szCs w:val="32"/>
              </w:rPr>
            </w:pPr>
            <w:r>
              <w:rPr>
                <w:sz w:val="32"/>
                <w:szCs w:val="32"/>
              </w:rPr>
              <w:t>Upheld a woman’s right</w:t>
            </w:r>
          </w:p>
          <w:p w:rsidR="007F423C" w:rsidRDefault="007F423C" w:rsidP="000B220C">
            <w:pPr>
              <w:rPr>
                <w:sz w:val="32"/>
                <w:szCs w:val="32"/>
              </w:rPr>
            </w:pPr>
            <w:r>
              <w:rPr>
                <w:sz w:val="32"/>
                <w:szCs w:val="32"/>
              </w:rPr>
              <w:t>To abortion. States cannot</w:t>
            </w:r>
          </w:p>
          <w:p w:rsidR="007F423C" w:rsidRDefault="007F423C" w:rsidP="000B220C">
            <w:pPr>
              <w:rPr>
                <w:sz w:val="32"/>
                <w:szCs w:val="32"/>
              </w:rPr>
            </w:pPr>
            <w:r>
              <w:rPr>
                <w:sz w:val="32"/>
                <w:szCs w:val="32"/>
              </w:rPr>
              <w:t>Restrict right in first trimester.</w:t>
            </w:r>
          </w:p>
          <w:p w:rsidR="007F423C" w:rsidRDefault="007F423C" w:rsidP="000B220C">
            <w:pPr>
              <w:rPr>
                <w:sz w:val="32"/>
                <w:szCs w:val="32"/>
              </w:rPr>
            </w:pPr>
            <w:r>
              <w:rPr>
                <w:sz w:val="32"/>
                <w:szCs w:val="32"/>
              </w:rPr>
              <w:t>Can institute regulation in 2</w:t>
            </w:r>
            <w:r w:rsidRPr="007F423C">
              <w:rPr>
                <w:sz w:val="32"/>
                <w:szCs w:val="32"/>
                <w:vertAlign w:val="superscript"/>
              </w:rPr>
              <w:t>nd</w:t>
            </w:r>
          </w:p>
          <w:p w:rsidR="007F423C" w:rsidRPr="00361198" w:rsidRDefault="007F423C" w:rsidP="000B220C">
            <w:pPr>
              <w:rPr>
                <w:sz w:val="32"/>
                <w:szCs w:val="32"/>
              </w:rPr>
            </w:pPr>
            <w:r>
              <w:rPr>
                <w:sz w:val="32"/>
                <w:szCs w:val="32"/>
              </w:rPr>
              <w:t>3</w:t>
            </w:r>
            <w:r w:rsidRPr="007F423C">
              <w:rPr>
                <w:sz w:val="32"/>
                <w:szCs w:val="32"/>
                <w:vertAlign w:val="superscript"/>
              </w:rPr>
              <w:t>rd</w:t>
            </w:r>
            <w:r>
              <w:rPr>
                <w:sz w:val="32"/>
                <w:szCs w:val="32"/>
              </w:rPr>
              <w:t xml:space="preserve"> trimesters.</w:t>
            </w:r>
          </w:p>
        </w:tc>
      </w:tr>
    </w:tbl>
    <w:p w:rsidR="00361198" w:rsidRDefault="00361198"/>
    <w:p w:rsidR="00361198" w:rsidRDefault="00361198"/>
    <w:tbl>
      <w:tblPr>
        <w:tblStyle w:val="TableGrid"/>
        <w:tblW w:w="0" w:type="auto"/>
        <w:tblLook w:val="04A0" w:firstRow="1" w:lastRow="0" w:firstColumn="1" w:lastColumn="0" w:noHBand="0" w:noVBand="1"/>
      </w:tblPr>
      <w:tblGrid>
        <w:gridCol w:w="4788"/>
        <w:gridCol w:w="4788"/>
      </w:tblGrid>
      <w:tr w:rsidR="00361198" w:rsidTr="000B220C">
        <w:trPr>
          <w:trHeight w:val="3230"/>
        </w:trPr>
        <w:tc>
          <w:tcPr>
            <w:tcW w:w="4788" w:type="dxa"/>
          </w:tcPr>
          <w:p w:rsidR="000B220C" w:rsidRDefault="000B220C" w:rsidP="000B220C">
            <w:r>
              <w:t>Supreme Court</w:t>
            </w:r>
          </w:p>
          <w:p w:rsidR="00361198" w:rsidRDefault="00361198" w:rsidP="000B220C"/>
          <w:p w:rsidR="00361198" w:rsidRDefault="00361198" w:rsidP="00361198">
            <w:pPr>
              <w:jc w:val="both"/>
            </w:pPr>
          </w:p>
          <w:p w:rsidR="00361198" w:rsidRPr="007F423C" w:rsidRDefault="007F423C" w:rsidP="000B220C">
            <w:pPr>
              <w:rPr>
                <w:sz w:val="50"/>
                <w:szCs w:val="50"/>
              </w:rPr>
            </w:pPr>
            <w:proofErr w:type="spellStart"/>
            <w:r w:rsidRPr="007F423C">
              <w:rPr>
                <w:rFonts w:ascii="Bookman Old Style" w:hAnsi="Bookman Old Style"/>
                <w:sz w:val="50"/>
                <w:szCs w:val="50"/>
              </w:rPr>
              <w:t>Korematsu</w:t>
            </w:r>
            <w:proofErr w:type="spellEnd"/>
            <w:r w:rsidRPr="007F423C">
              <w:rPr>
                <w:rFonts w:ascii="Bookman Old Style" w:hAnsi="Bookman Old Style"/>
                <w:sz w:val="50"/>
                <w:szCs w:val="50"/>
              </w:rPr>
              <w:t xml:space="preserve"> vs. United States [1942]</w:t>
            </w:r>
          </w:p>
        </w:tc>
        <w:tc>
          <w:tcPr>
            <w:tcW w:w="4788" w:type="dxa"/>
          </w:tcPr>
          <w:p w:rsidR="000B220C" w:rsidRDefault="000B220C" w:rsidP="000B220C">
            <w:r>
              <w:t>Supreme Court</w:t>
            </w:r>
          </w:p>
          <w:p w:rsidR="00361198" w:rsidRPr="00361198" w:rsidRDefault="00361198" w:rsidP="000B220C">
            <w:pPr>
              <w:rPr>
                <w:sz w:val="32"/>
                <w:szCs w:val="32"/>
              </w:rPr>
            </w:pPr>
          </w:p>
          <w:p w:rsidR="00361198" w:rsidRPr="007F423C" w:rsidRDefault="007F423C" w:rsidP="000B220C">
            <w:pPr>
              <w:rPr>
                <w:sz w:val="32"/>
                <w:szCs w:val="32"/>
              </w:rPr>
            </w:pPr>
            <w:r w:rsidRPr="007F423C">
              <w:rPr>
                <w:rFonts w:ascii="Bookman Old Style" w:hAnsi="Bookman Old Style"/>
                <w:sz w:val="32"/>
                <w:szCs w:val="32"/>
              </w:rPr>
              <w:t>upheld the constitutionality of the internment of Japanese Americans as a wartime necessity</w:t>
            </w:r>
          </w:p>
        </w:tc>
      </w:tr>
    </w:tbl>
    <w:p w:rsidR="00361198" w:rsidRDefault="00361198"/>
    <w:p w:rsidR="00361198" w:rsidRDefault="00361198"/>
    <w:p w:rsidR="00361198" w:rsidRDefault="00361198"/>
    <w:p w:rsidR="00361198" w:rsidRDefault="00361198"/>
    <w:p w:rsidR="00361198" w:rsidRDefault="00361198"/>
    <w:p w:rsidR="004C587D" w:rsidRDefault="004C587D"/>
    <w:p w:rsidR="004C587D" w:rsidRDefault="004C587D"/>
    <w:sectPr w:rsidR="004C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7D"/>
    <w:rsid w:val="000B220C"/>
    <w:rsid w:val="00361198"/>
    <w:rsid w:val="00487872"/>
    <w:rsid w:val="004C587D"/>
    <w:rsid w:val="007F423C"/>
    <w:rsid w:val="0086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872"/>
    <w:rPr>
      <w:rFonts w:ascii="Tahoma" w:hAnsi="Tahoma" w:cs="Tahoma"/>
      <w:sz w:val="16"/>
      <w:szCs w:val="16"/>
    </w:rPr>
  </w:style>
  <w:style w:type="character" w:customStyle="1" w:styleId="BalloonTextChar">
    <w:name w:val="Balloon Text Char"/>
    <w:basedOn w:val="DefaultParagraphFont"/>
    <w:link w:val="BalloonText"/>
    <w:uiPriority w:val="99"/>
    <w:semiHidden/>
    <w:rsid w:val="00487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872"/>
    <w:rPr>
      <w:rFonts w:ascii="Tahoma" w:hAnsi="Tahoma" w:cs="Tahoma"/>
      <w:sz w:val="16"/>
      <w:szCs w:val="16"/>
    </w:rPr>
  </w:style>
  <w:style w:type="character" w:customStyle="1" w:styleId="BalloonTextChar">
    <w:name w:val="Balloon Text Char"/>
    <w:basedOn w:val="DefaultParagraphFont"/>
    <w:link w:val="BalloonText"/>
    <w:uiPriority w:val="99"/>
    <w:semiHidden/>
    <w:rsid w:val="00487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3</cp:revision>
  <cp:lastPrinted>2012-04-26T12:26:00Z</cp:lastPrinted>
  <dcterms:created xsi:type="dcterms:W3CDTF">2012-04-26T12:38:00Z</dcterms:created>
  <dcterms:modified xsi:type="dcterms:W3CDTF">2012-04-26T12:52:00Z</dcterms:modified>
</cp:coreProperties>
</file>